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C3D" w:rsidRDefault="00147C3D"/>
    <w:p w:rsidR="00642CB1" w:rsidRDefault="00D70AB3" w:rsidP="00642CB1">
      <w:pPr>
        <w:tabs>
          <w:tab w:val="right" w:pos="10620"/>
        </w:tabs>
        <w:spacing w:after="0"/>
        <w:jc w:val="center"/>
        <w:rPr>
          <w:b/>
          <w:bCs/>
          <w:i/>
          <w:sz w:val="36"/>
          <w:szCs w:val="36"/>
        </w:rPr>
      </w:pPr>
      <w:r>
        <w:rPr>
          <w:b/>
          <w:bCs/>
          <w:i/>
          <w:sz w:val="36"/>
          <w:szCs w:val="36"/>
        </w:rPr>
        <w:t>Facilities Naming Policy Committee</w:t>
      </w:r>
    </w:p>
    <w:p w:rsidR="00607A0A" w:rsidRDefault="00EA3AB4" w:rsidP="00642CB1">
      <w:pPr>
        <w:tabs>
          <w:tab w:val="right" w:pos="10620"/>
        </w:tabs>
        <w:spacing w:after="0"/>
        <w:jc w:val="center"/>
        <w:rPr>
          <w:b/>
          <w:bCs/>
          <w:sz w:val="32"/>
          <w:szCs w:val="26"/>
        </w:rPr>
      </w:pPr>
      <w:r>
        <w:rPr>
          <w:b/>
          <w:bCs/>
          <w:i/>
          <w:sz w:val="36"/>
          <w:szCs w:val="36"/>
        </w:rPr>
        <w:t>NOTES</w:t>
      </w:r>
    </w:p>
    <w:p w:rsidR="00B8277B" w:rsidRDefault="00D70AB3" w:rsidP="00642CB1">
      <w:pPr>
        <w:tabs>
          <w:tab w:val="right" w:pos="10620"/>
        </w:tabs>
        <w:spacing w:after="0"/>
        <w:jc w:val="center"/>
        <w:rPr>
          <w:b/>
          <w:bCs/>
          <w:sz w:val="26"/>
          <w:szCs w:val="26"/>
        </w:rPr>
      </w:pPr>
      <w:r>
        <w:rPr>
          <w:b/>
          <w:bCs/>
          <w:sz w:val="26"/>
          <w:szCs w:val="26"/>
        </w:rPr>
        <w:t>Tuesday, April 29, 2014</w:t>
      </w:r>
    </w:p>
    <w:p w:rsidR="00D70AB3" w:rsidRDefault="00D70AB3" w:rsidP="00642CB1">
      <w:pPr>
        <w:tabs>
          <w:tab w:val="right" w:pos="10620"/>
        </w:tabs>
        <w:spacing w:after="0"/>
        <w:jc w:val="center"/>
        <w:rPr>
          <w:b/>
          <w:bCs/>
          <w:sz w:val="26"/>
          <w:szCs w:val="26"/>
        </w:rPr>
      </w:pPr>
      <w:r>
        <w:rPr>
          <w:b/>
          <w:bCs/>
          <w:sz w:val="26"/>
          <w:szCs w:val="26"/>
        </w:rPr>
        <w:t>4:30-6pm</w:t>
      </w:r>
    </w:p>
    <w:p w:rsidR="00B8277B" w:rsidRPr="000566FB" w:rsidRDefault="00B8277B" w:rsidP="00B8277B">
      <w:pPr>
        <w:spacing w:after="0" w:line="240" w:lineRule="auto"/>
        <w:jc w:val="center"/>
        <w:rPr>
          <w:b/>
          <w:bCs/>
          <w:sz w:val="12"/>
          <w:szCs w:val="12"/>
        </w:rPr>
      </w:pPr>
    </w:p>
    <w:tbl>
      <w:tblPr>
        <w:tblStyle w:val="TableGrid"/>
        <w:tblpPr w:leftFromText="180" w:rightFromText="180" w:vertAnchor="text" w:horzAnchor="margin" w:tblpY="-42"/>
        <w:tblW w:w="0" w:type="auto"/>
        <w:tblLook w:val="04A0" w:firstRow="1" w:lastRow="0" w:firstColumn="1" w:lastColumn="0" w:noHBand="0" w:noVBand="1"/>
      </w:tblPr>
      <w:tblGrid>
        <w:gridCol w:w="1728"/>
        <w:gridCol w:w="9288"/>
      </w:tblGrid>
      <w:tr w:rsidR="00607A0A" w:rsidTr="00607A0A">
        <w:tc>
          <w:tcPr>
            <w:tcW w:w="1728" w:type="dxa"/>
          </w:tcPr>
          <w:p w:rsidR="00607A0A" w:rsidRDefault="00607A0A" w:rsidP="006A2D2C">
            <w:pPr>
              <w:tabs>
                <w:tab w:val="right" w:pos="10620"/>
              </w:tabs>
              <w:rPr>
                <w:b/>
                <w:bCs/>
                <w:sz w:val="26"/>
                <w:szCs w:val="26"/>
              </w:rPr>
            </w:pPr>
            <w:r>
              <w:rPr>
                <w:b/>
                <w:bCs/>
                <w:sz w:val="22"/>
                <w:szCs w:val="22"/>
              </w:rPr>
              <w:lastRenderedPageBreak/>
              <w:t>4:30</w:t>
            </w:r>
            <w:r w:rsidRPr="00437FB3">
              <w:rPr>
                <w:b/>
                <w:bCs/>
                <w:sz w:val="22"/>
                <w:szCs w:val="22"/>
              </w:rPr>
              <w:t xml:space="preserve"> p.m.</w:t>
            </w:r>
          </w:p>
        </w:tc>
        <w:tc>
          <w:tcPr>
            <w:tcW w:w="9288" w:type="dxa"/>
          </w:tcPr>
          <w:p w:rsidR="00607A0A" w:rsidRPr="000406F4" w:rsidRDefault="00607A0A" w:rsidP="000406F4">
            <w:pPr>
              <w:pStyle w:val="ListParagraph"/>
              <w:numPr>
                <w:ilvl w:val="0"/>
                <w:numId w:val="7"/>
              </w:numPr>
              <w:rPr>
                <w:bCs/>
                <w:sz w:val="26"/>
                <w:szCs w:val="26"/>
              </w:rPr>
            </w:pPr>
            <w:r w:rsidRPr="000406F4">
              <w:rPr>
                <w:bCs/>
                <w:sz w:val="26"/>
                <w:szCs w:val="26"/>
              </w:rPr>
              <w:t>Welcome and review agenda</w:t>
            </w:r>
          </w:p>
          <w:p w:rsidR="00607A0A" w:rsidRPr="006A2D2C" w:rsidRDefault="00607A0A" w:rsidP="00607A0A">
            <w:pPr>
              <w:tabs>
                <w:tab w:val="right" w:pos="10620"/>
              </w:tabs>
              <w:jc w:val="center"/>
              <w:rPr>
                <w:bCs/>
                <w:sz w:val="26"/>
                <w:szCs w:val="26"/>
              </w:rPr>
            </w:pPr>
          </w:p>
        </w:tc>
      </w:tr>
      <w:tr w:rsidR="00607A0A" w:rsidTr="006A2D2C">
        <w:trPr>
          <w:trHeight w:val="2492"/>
        </w:trPr>
        <w:tc>
          <w:tcPr>
            <w:tcW w:w="1728" w:type="dxa"/>
          </w:tcPr>
          <w:p w:rsidR="006A2D2C" w:rsidRDefault="006A2D2C" w:rsidP="006A2D2C">
            <w:pPr>
              <w:pStyle w:val="ColorfulList-Accent11"/>
              <w:spacing w:line="360" w:lineRule="auto"/>
              <w:ind w:left="0"/>
              <w:jc w:val="both"/>
              <w:rPr>
                <w:b/>
                <w:bCs/>
                <w:sz w:val="22"/>
                <w:szCs w:val="22"/>
              </w:rPr>
            </w:pPr>
            <w:r>
              <w:rPr>
                <w:b/>
                <w:bCs/>
                <w:sz w:val="22"/>
                <w:szCs w:val="22"/>
              </w:rPr>
              <w:t>4:35</w:t>
            </w:r>
            <w:r w:rsidRPr="00437FB3">
              <w:rPr>
                <w:b/>
                <w:bCs/>
                <w:sz w:val="22"/>
                <w:szCs w:val="22"/>
              </w:rPr>
              <w:t xml:space="preserve"> p.m.</w:t>
            </w:r>
          </w:p>
          <w:p w:rsidR="00607A0A" w:rsidRDefault="00607A0A" w:rsidP="00607A0A">
            <w:pPr>
              <w:tabs>
                <w:tab w:val="right" w:pos="10620"/>
              </w:tabs>
              <w:jc w:val="center"/>
              <w:rPr>
                <w:b/>
                <w:bCs/>
                <w:sz w:val="26"/>
                <w:szCs w:val="26"/>
              </w:rPr>
            </w:pPr>
          </w:p>
        </w:tc>
        <w:tc>
          <w:tcPr>
            <w:tcW w:w="9288" w:type="dxa"/>
          </w:tcPr>
          <w:p w:rsidR="006A2D2C" w:rsidRPr="006A2D2C" w:rsidRDefault="006A2D2C" w:rsidP="006A2D2C">
            <w:pPr>
              <w:pStyle w:val="ListParagraph"/>
              <w:numPr>
                <w:ilvl w:val="0"/>
                <w:numId w:val="5"/>
              </w:numPr>
              <w:spacing w:line="360" w:lineRule="auto"/>
              <w:ind w:left="702"/>
              <w:rPr>
                <w:bCs/>
                <w:sz w:val="26"/>
                <w:szCs w:val="26"/>
              </w:rPr>
            </w:pPr>
            <w:r w:rsidRPr="006A2D2C">
              <w:rPr>
                <w:bCs/>
                <w:sz w:val="26"/>
                <w:szCs w:val="26"/>
              </w:rPr>
              <w:t>Discuss the results and suggestions from March 26 Board meeting</w:t>
            </w:r>
          </w:p>
          <w:p w:rsidR="006A2D2C" w:rsidRDefault="006A2D2C" w:rsidP="000406F4">
            <w:pPr>
              <w:pStyle w:val="ListParagraph"/>
              <w:numPr>
                <w:ilvl w:val="0"/>
                <w:numId w:val="8"/>
              </w:numPr>
              <w:spacing w:line="360" w:lineRule="auto"/>
              <w:rPr>
                <w:bCs/>
                <w:sz w:val="26"/>
                <w:szCs w:val="26"/>
              </w:rPr>
            </w:pPr>
            <w:r w:rsidRPr="006A2D2C">
              <w:rPr>
                <w:bCs/>
                <w:sz w:val="26"/>
                <w:szCs w:val="26"/>
              </w:rPr>
              <w:t>Adoption of BP 8510 Tributes and Memorials (Action Item)</w:t>
            </w:r>
          </w:p>
          <w:p w:rsidR="00F4711A" w:rsidRPr="006A2D2C" w:rsidRDefault="00F4711A" w:rsidP="00D0743A">
            <w:pPr>
              <w:pStyle w:val="ListParagraph"/>
              <w:numPr>
                <w:ilvl w:val="1"/>
                <w:numId w:val="8"/>
              </w:numPr>
              <w:ind w:left="1901"/>
              <w:rPr>
                <w:bCs/>
                <w:sz w:val="26"/>
                <w:szCs w:val="26"/>
              </w:rPr>
            </w:pPr>
            <w:r>
              <w:rPr>
                <w:bCs/>
                <w:color w:val="FF0000"/>
                <w:sz w:val="26"/>
                <w:szCs w:val="26"/>
              </w:rPr>
              <w:t>Group discussed Board of Trustee’s concerns expressed at March PN&amp;P with policy as currently written – specifically needing to address the academic and extra-curricular achievement recognition that is a regular practice in our schools and how the policy language would impact those practices. Committee adjusted language and revised policy. Please see revised policy – attached.</w:t>
            </w:r>
          </w:p>
          <w:p w:rsidR="006A2D2C" w:rsidRDefault="006A2D2C" w:rsidP="000406F4">
            <w:pPr>
              <w:pStyle w:val="ListParagraph"/>
              <w:numPr>
                <w:ilvl w:val="0"/>
                <w:numId w:val="8"/>
              </w:numPr>
              <w:spacing w:line="360" w:lineRule="auto"/>
              <w:rPr>
                <w:bCs/>
                <w:sz w:val="26"/>
                <w:szCs w:val="26"/>
              </w:rPr>
            </w:pPr>
            <w:r w:rsidRPr="006A2D2C">
              <w:rPr>
                <w:bCs/>
                <w:sz w:val="26"/>
                <w:szCs w:val="26"/>
              </w:rPr>
              <w:t xml:space="preserve">Adoption of BP 8520 Naming Rights for School District and </w:t>
            </w:r>
            <w:r w:rsidR="00C12551">
              <w:rPr>
                <w:bCs/>
                <w:sz w:val="26"/>
                <w:szCs w:val="26"/>
              </w:rPr>
              <w:t xml:space="preserve">                  </w:t>
            </w:r>
            <w:r w:rsidRPr="006A2D2C">
              <w:rPr>
                <w:bCs/>
                <w:sz w:val="26"/>
                <w:szCs w:val="26"/>
              </w:rPr>
              <w:t>Facilities (Action Item</w:t>
            </w:r>
            <w:r w:rsidR="00C12551">
              <w:rPr>
                <w:bCs/>
                <w:sz w:val="26"/>
                <w:szCs w:val="26"/>
              </w:rPr>
              <w:t>)</w:t>
            </w:r>
          </w:p>
          <w:p w:rsidR="00D0743A" w:rsidRPr="006A2D2C" w:rsidRDefault="00D0743A" w:rsidP="00D0743A">
            <w:pPr>
              <w:pStyle w:val="ListParagraph"/>
              <w:numPr>
                <w:ilvl w:val="1"/>
                <w:numId w:val="8"/>
              </w:numPr>
              <w:ind w:left="1901"/>
              <w:rPr>
                <w:bCs/>
                <w:sz w:val="26"/>
                <w:szCs w:val="26"/>
              </w:rPr>
            </w:pPr>
            <w:r>
              <w:rPr>
                <w:bCs/>
                <w:color w:val="FF0000"/>
                <w:sz w:val="26"/>
                <w:szCs w:val="26"/>
              </w:rPr>
              <w:t xml:space="preserve">Group discussed that the Board of Trustees PN&amp;P subcommittee recommended that this policy be brought before the full Board of Trustees at the June 10, 2014 meeting for a full and public discussion of the policy. Jean </w:t>
            </w:r>
            <w:proofErr w:type="spellStart"/>
            <w:r>
              <w:rPr>
                <w:bCs/>
                <w:color w:val="FF0000"/>
                <w:sz w:val="26"/>
                <w:szCs w:val="26"/>
              </w:rPr>
              <w:t>Croxton</w:t>
            </w:r>
            <w:proofErr w:type="spellEnd"/>
            <w:r>
              <w:rPr>
                <w:bCs/>
                <w:color w:val="FF0000"/>
                <w:sz w:val="26"/>
                <w:szCs w:val="26"/>
              </w:rPr>
              <w:t xml:space="preserve"> will try to attend the meeting to provide insight on the committee’s work and address any questions the Board may have.</w:t>
            </w:r>
          </w:p>
          <w:p w:rsidR="00607A0A" w:rsidRDefault="006A2D2C" w:rsidP="000406F4">
            <w:pPr>
              <w:pStyle w:val="ListParagraph"/>
              <w:numPr>
                <w:ilvl w:val="0"/>
                <w:numId w:val="8"/>
              </w:numPr>
              <w:tabs>
                <w:tab w:val="right" w:pos="10620"/>
              </w:tabs>
              <w:rPr>
                <w:bCs/>
                <w:sz w:val="26"/>
                <w:szCs w:val="26"/>
              </w:rPr>
            </w:pPr>
            <w:r w:rsidRPr="006A2D2C">
              <w:rPr>
                <w:bCs/>
                <w:sz w:val="26"/>
                <w:szCs w:val="26"/>
              </w:rPr>
              <w:t>Procedures for Naming Rights (Information Only)</w:t>
            </w:r>
          </w:p>
          <w:p w:rsidR="00D0743A" w:rsidRPr="00D0743A" w:rsidRDefault="00D0743A" w:rsidP="00D0743A">
            <w:pPr>
              <w:pStyle w:val="ListParagraph"/>
              <w:numPr>
                <w:ilvl w:val="1"/>
                <w:numId w:val="8"/>
              </w:numPr>
              <w:tabs>
                <w:tab w:val="right" w:pos="10620"/>
              </w:tabs>
              <w:rPr>
                <w:bCs/>
                <w:sz w:val="26"/>
                <w:szCs w:val="26"/>
              </w:rPr>
            </w:pPr>
            <w:r>
              <w:rPr>
                <w:bCs/>
                <w:color w:val="FF0000"/>
                <w:sz w:val="26"/>
                <w:szCs w:val="26"/>
              </w:rPr>
              <w:t>Group discussed the Board of Trustee’s PN&amp;P subcommittee recommendations and suggestions surrounding the Administrative Procedures for Naming Rights. In particular, on page 2 of the procedures</w:t>
            </w:r>
            <w:r w:rsidR="00EA3AB4">
              <w:rPr>
                <w:bCs/>
                <w:color w:val="FF0000"/>
                <w:sz w:val="26"/>
                <w:szCs w:val="26"/>
              </w:rPr>
              <w:t xml:space="preserve"> the highlighted items below. Under criteria “1.” </w:t>
            </w:r>
            <w:proofErr w:type="gramStart"/>
            <w:r w:rsidR="00AE16E4">
              <w:rPr>
                <w:bCs/>
                <w:color w:val="FF0000"/>
                <w:sz w:val="26"/>
                <w:szCs w:val="26"/>
              </w:rPr>
              <w:t>Change  the</w:t>
            </w:r>
            <w:proofErr w:type="gramEnd"/>
            <w:r w:rsidR="00AE16E4">
              <w:rPr>
                <w:bCs/>
                <w:color w:val="FF0000"/>
                <w:sz w:val="26"/>
                <w:szCs w:val="26"/>
              </w:rPr>
              <w:t xml:space="preserve"> word “or</w:t>
            </w:r>
            <w:r w:rsidR="00EA3AB4">
              <w:rPr>
                <w:bCs/>
                <w:color w:val="FF0000"/>
                <w:sz w:val="26"/>
                <w:szCs w:val="26"/>
              </w:rPr>
              <w:t>” to</w:t>
            </w:r>
            <w:r w:rsidR="00AE16E4">
              <w:rPr>
                <w:bCs/>
                <w:color w:val="FF0000"/>
                <w:sz w:val="26"/>
                <w:szCs w:val="26"/>
              </w:rPr>
              <w:t xml:space="preserve"> “and” (see below)</w:t>
            </w:r>
            <w:r w:rsidR="00EA3AB4">
              <w:rPr>
                <w:bCs/>
                <w:color w:val="FF0000"/>
                <w:sz w:val="26"/>
                <w:szCs w:val="26"/>
              </w:rPr>
              <w:t>. And under criteria 3, 4, or 5, remove the words “public education” so as not to limit the committee’s consideration</w:t>
            </w:r>
            <w:r w:rsidR="00AE16E4">
              <w:rPr>
                <w:bCs/>
                <w:color w:val="FF0000"/>
                <w:sz w:val="26"/>
                <w:szCs w:val="26"/>
              </w:rPr>
              <w:t xml:space="preserve"> (see below)</w:t>
            </w:r>
            <w:r>
              <w:rPr>
                <w:bCs/>
                <w:color w:val="FF0000"/>
                <w:sz w:val="26"/>
                <w:szCs w:val="26"/>
              </w:rPr>
              <w:t>:</w:t>
            </w:r>
          </w:p>
          <w:p w:rsidR="00D0743A" w:rsidRDefault="00D0743A" w:rsidP="00D0743A">
            <w:pPr>
              <w:rPr>
                <w:rFonts w:asciiTheme="majorHAnsi" w:eastAsia="Times New Roman" w:hAnsiTheme="majorHAnsi" w:cs="Times New Roman"/>
                <w:color w:val="FF0000"/>
                <w:sz w:val="22"/>
                <w:szCs w:val="22"/>
              </w:rPr>
            </w:pPr>
          </w:p>
          <w:p w:rsidR="00D0743A" w:rsidRDefault="00D0743A" w:rsidP="00D0743A">
            <w:pPr>
              <w:rPr>
                <w:rFonts w:asciiTheme="majorHAnsi" w:eastAsia="Times New Roman" w:hAnsiTheme="majorHAnsi" w:cs="Times New Roman"/>
                <w:color w:val="FF0000"/>
                <w:sz w:val="22"/>
                <w:szCs w:val="22"/>
              </w:rPr>
            </w:pPr>
            <w:r>
              <w:rPr>
                <w:rFonts w:asciiTheme="majorHAnsi" w:eastAsia="Times New Roman" w:hAnsiTheme="majorHAnsi" w:cs="Times New Roman"/>
                <w:color w:val="FF0000"/>
                <w:sz w:val="22"/>
                <w:szCs w:val="22"/>
              </w:rPr>
              <w:t>“</w:t>
            </w:r>
            <w:r w:rsidRPr="00D0743A">
              <w:rPr>
                <w:rFonts w:asciiTheme="majorHAnsi" w:eastAsia="Times New Roman" w:hAnsiTheme="majorHAnsi" w:cs="Times New Roman"/>
                <w:color w:val="FF0000"/>
                <w:sz w:val="22"/>
                <w:szCs w:val="22"/>
              </w:rPr>
              <w:t>A committee, established by the Superintendent or designee, shall determine whether the individual for which naming rights have been requested, fulfills at least one (1) of the following five (5) criteria:</w:t>
            </w:r>
          </w:p>
          <w:p w:rsidR="00D0743A" w:rsidRDefault="00D0743A" w:rsidP="00D0743A">
            <w:pPr>
              <w:rPr>
                <w:rFonts w:asciiTheme="majorHAnsi" w:eastAsia="Times New Roman" w:hAnsiTheme="majorHAnsi" w:cs="Times New Roman"/>
                <w:color w:val="FF0000"/>
                <w:sz w:val="22"/>
                <w:szCs w:val="22"/>
              </w:rPr>
            </w:pPr>
          </w:p>
          <w:p w:rsidR="00D0743A" w:rsidRPr="00D0743A" w:rsidRDefault="00D0743A" w:rsidP="00D0743A">
            <w:pPr>
              <w:pStyle w:val="ListParagraph"/>
              <w:numPr>
                <w:ilvl w:val="0"/>
                <w:numId w:val="10"/>
              </w:numPr>
              <w:rPr>
                <w:rFonts w:asciiTheme="majorHAnsi" w:eastAsia="Times New Roman" w:hAnsiTheme="majorHAnsi" w:cs="Times New Roman"/>
                <w:color w:val="FF0000"/>
                <w:sz w:val="22"/>
                <w:szCs w:val="22"/>
              </w:rPr>
            </w:pPr>
            <w:r w:rsidRPr="00D0743A">
              <w:rPr>
                <w:rFonts w:asciiTheme="majorHAnsi" w:eastAsia="Times New Roman" w:hAnsiTheme="majorHAnsi" w:cs="Times New Roman"/>
                <w:color w:val="FF0000"/>
                <w:sz w:val="22"/>
                <w:szCs w:val="22"/>
              </w:rPr>
              <w:t xml:space="preserve">had a significant monetary contribution made “in memoriam” (51% or more) of the cost of developing a facility, </w:t>
            </w:r>
            <w:r w:rsidR="00AE16E4">
              <w:rPr>
                <w:rFonts w:asciiTheme="majorHAnsi" w:eastAsia="Times New Roman" w:hAnsiTheme="majorHAnsi" w:cs="Times New Roman"/>
                <w:color w:val="FF0000"/>
                <w:sz w:val="22"/>
                <w:szCs w:val="22"/>
                <w:highlight w:val="yellow"/>
              </w:rPr>
              <w:t xml:space="preserve">and </w:t>
            </w:r>
            <w:r w:rsidRPr="00AE16E4">
              <w:rPr>
                <w:rFonts w:asciiTheme="majorHAnsi" w:eastAsia="Times New Roman" w:hAnsiTheme="majorHAnsi" w:cs="Times New Roman"/>
                <w:strike/>
                <w:color w:val="FF0000"/>
                <w:sz w:val="22"/>
                <w:szCs w:val="22"/>
                <w:highlight w:val="yellow"/>
              </w:rPr>
              <w:t>or</w:t>
            </w:r>
            <w:r w:rsidRPr="00D0743A">
              <w:rPr>
                <w:rFonts w:asciiTheme="majorHAnsi" w:eastAsia="Times New Roman" w:hAnsiTheme="majorHAnsi" w:cs="Times New Roman"/>
                <w:color w:val="FF0000"/>
                <w:sz w:val="22"/>
                <w:szCs w:val="22"/>
              </w:rPr>
              <w:t xml:space="preserve"> established a maintenance endowment “in memoriam” of 51% or more of the projected maintenance cost for 20 years, and such donation is made with the stipulation that the name is a condition of the monetary donation;</w:t>
            </w:r>
          </w:p>
          <w:p w:rsidR="00D0743A" w:rsidRPr="00D0743A" w:rsidRDefault="00D0743A" w:rsidP="00D0743A">
            <w:pPr>
              <w:pStyle w:val="ListParagraph"/>
              <w:numPr>
                <w:ilvl w:val="0"/>
                <w:numId w:val="10"/>
              </w:numPr>
              <w:rPr>
                <w:rFonts w:asciiTheme="majorHAnsi" w:eastAsia="Times New Roman" w:hAnsiTheme="majorHAnsi" w:cs="Times New Roman"/>
                <w:color w:val="FF0000"/>
                <w:sz w:val="22"/>
                <w:szCs w:val="22"/>
              </w:rPr>
            </w:pPr>
            <w:r w:rsidRPr="00D0743A">
              <w:rPr>
                <w:rFonts w:asciiTheme="majorHAnsi" w:eastAsia="Times New Roman" w:hAnsiTheme="majorHAnsi" w:cs="Times New Roman"/>
                <w:color w:val="FF0000"/>
                <w:sz w:val="22"/>
                <w:szCs w:val="22"/>
              </w:rPr>
              <w:t>is a distinguished alumni or MCPS employee with significant achievement(s);</w:t>
            </w:r>
          </w:p>
          <w:p w:rsidR="00D0743A" w:rsidRPr="00EA3AB4" w:rsidRDefault="00D0743A" w:rsidP="00D0743A">
            <w:pPr>
              <w:pStyle w:val="ListParagraph"/>
              <w:numPr>
                <w:ilvl w:val="0"/>
                <w:numId w:val="10"/>
              </w:numPr>
              <w:rPr>
                <w:rFonts w:asciiTheme="majorHAnsi" w:eastAsia="Times New Roman" w:hAnsiTheme="majorHAnsi" w:cs="Times New Roman"/>
                <w:color w:val="FF0000"/>
                <w:sz w:val="22"/>
                <w:szCs w:val="22"/>
                <w:highlight w:val="yellow"/>
              </w:rPr>
            </w:pPr>
            <w:r w:rsidRPr="00D0743A">
              <w:rPr>
                <w:rFonts w:asciiTheme="majorHAnsi" w:eastAsia="Times New Roman" w:hAnsiTheme="majorHAnsi" w:cs="Times New Roman"/>
                <w:color w:val="FF0000"/>
                <w:sz w:val="22"/>
                <w:szCs w:val="22"/>
              </w:rPr>
              <w:t xml:space="preserve">performed extraordinary or outstanding public service for the good of the community </w:t>
            </w:r>
            <w:r w:rsidRPr="00EA3AB4">
              <w:rPr>
                <w:rFonts w:asciiTheme="majorHAnsi" w:eastAsia="Times New Roman" w:hAnsiTheme="majorHAnsi" w:cs="Times New Roman"/>
                <w:strike/>
                <w:color w:val="FF0000"/>
                <w:sz w:val="22"/>
                <w:szCs w:val="22"/>
                <w:highlight w:val="yellow"/>
              </w:rPr>
              <w:t>in regards to public education</w:t>
            </w:r>
            <w:r w:rsidRPr="00EA3AB4">
              <w:rPr>
                <w:rFonts w:asciiTheme="majorHAnsi" w:eastAsia="Times New Roman" w:hAnsiTheme="majorHAnsi" w:cs="Times New Roman"/>
                <w:color w:val="FF0000"/>
                <w:sz w:val="22"/>
                <w:szCs w:val="22"/>
                <w:highlight w:val="yellow"/>
              </w:rPr>
              <w:t xml:space="preserve">; </w:t>
            </w:r>
          </w:p>
          <w:p w:rsidR="00D0743A" w:rsidRPr="00EA3AB4" w:rsidRDefault="00D0743A" w:rsidP="00D0743A">
            <w:pPr>
              <w:pStyle w:val="ListParagraph"/>
              <w:numPr>
                <w:ilvl w:val="0"/>
                <w:numId w:val="10"/>
              </w:numPr>
              <w:rPr>
                <w:rFonts w:asciiTheme="majorHAnsi" w:eastAsia="Times New Roman" w:hAnsiTheme="majorHAnsi" w:cs="Times New Roman"/>
                <w:color w:val="FF0000"/>
                <w:sz w:val="22"/>
                <w:szCs w:val="22"/>
                <w:highlight w:val="yellow"/>
              </w:rPr>
            </w:pPr>
            <w:r w:rsidRPr="00D0743A">
              <w:rPr>
                <w:rFonts w:asciiTheme="majorHAnsi" w:eastAsia="Times New Roman" w:hAnsiTheme="majorHAnsi" w:cs="Times New Roman"/>
                <w:color w:val="FF0000"/>
                <w:sz w:val="22"/>
                <w:szCs w:val="22"/>
              </w:rPr>
              <w:t xml:space="preserve">was an outstanding community leader who made significant civic contributions to the district and/or school </w:t>
            </w:r>
            <w:r w:rsidRPr="00EA3AB4">
              <w:rPr>
                <w:rFonts w:asciiTheme="majorHAnsi" w:eastAsia="Times New Roman" w:hAnsiTheme="majorHAnsi" w:cs="Times New Roman"/>
                <w:strike/>
                <w:color w:val="FF0000"/>
                <w:sz w:val="22"/>
                <w:szCs w:val="22"/>
                <w:highlight w:val="yellow"/>
              </w:rPr>
              <w:t>and gave highly productive support to the advancement of public education</w:t>
            </w:r>
            <w:r w:rsidRPr="00EA3AB4">
              <w:rPr>
                <w:rFonts w:asciiTheme="majorHAnsi" w:eastAsia="Times New Roman" w:hAnsiTheme="majorHAnsi" w:cs="Times New Roman"/>
                <w:color w:val="FF0000"/>
                <w:sz w:val="22"/>
                <w:szCs w:val="22"/>
                <w:highlight w:val="yellow"/>
              </w:rPr>
              <w:t>;</w:t>
            </w:r>
          </w:p>
          <w:p w:rsidR="00D0743A" w:rsidRPr="00D0743A" w:rsidRDefault="00D0743A" w:rsidP="00D0743A">
            <w:pPr>
              <w:pStyle w:val="ListParagraph"/>
              <w:numPr>
                <w:ilvl w:val="0"/>
                <w:numId w:val="10"/>
              </w:numPr>
              <w:rPr>
                <w:rFonts w:asciiTheme="majorHAnsi" w:eastAsia="Times New Roman" w:hAnsiTheme="majorHAnsi" w:cs="Times New Roman"/>
                <w:color w:val="FF0000"/>
                <w:sz w:val="22"/>
                <w:szCs w:val="22"/>
              </w:rPr>
            </w:pPr>
            <w:r w:rsidRPr="00D0743A">
              <w:rPr>
                <w:rFonts w:asciiTheme="majorHAnsi" w:eastAsia="Times New Roman" w:hAnsiTheme="majorHAnsi" w:cs="Times New Roman"/>
                <w:color w:val="FF0000"/>
                <w:sz w:val="22"/>
                <w:szCs w:val="22"/>
              </w:rPr>
              <w:t xml:space="preserve">was an outstanding regional or statewide leader </w:t>
            </w:r>
            <w:r w:rsidRPr="00EA3AB4">
              <w:rPr>
                <w:rFonts w:asciiTheme="majorHAnsi" w:eastAsia="Times New Roman" w:hAnsiTheme="majorHAnsi" w:cs="Times New Roman"/>
                <w:strike/>
                <w:color w:val="FF0000"/>
                <w:sz w:val="22"/>
                <w:szCs w:val="22"/>
                <w:highlight w:val="yellow"/>
              </w:rPr>
              <w:t>who contributed significantly to the promotion of public education</w:t>
            </w:r>
          </w:p>
          <w:p w:rsidR="00D0743A" w:rsidRPr="00D0743A" w:rsidRDefault="00D0743A" w:rsidP="00D0743A">
            <w:pPr>
              <w:rPr>
                <w:rFonts w:asciiTheme="majorHAnsi" w:eastAsia="Times New Roman" w:hAnsiTheme="majorHAnsi" w:cs="Times New Roman"/>
                <w:color w:val="FF0000"/>
                <w:sz w:val="22"/>
                <w:szCs w:val="22"/>
              </w:rPr>
            </w:pPr>
          </w:p>
          <w:p w:rsidR="00D0743A" w:rsidRPr="006A2D2C" w:rsidRDefault="00EA3AB4" w:rsidP="00EA3AB4">
            <w:pPr>
              <w:pStyle w:val="ListParagraph"/>
              <w:numPr>
                <w:ilvl w:val="1"/>
                <w:numId w:val="8"/>
              </w:numPr>
              <w:tabs>
                <w:tab w:val="right" w:pos="10620"/>
              </w:tabs>
              <w:rPr>
                <w:bCs/>
                <w:sz w:val="26"/>
                <w:szCs w:val="26"/>
              </w:rPr>
            </w:pPr>
            <w:r w:rsidRPr="00EA3AB4">
              <w:rPr>
                <w:bCs/>
                <w:color w:val="FF0000"/>
                <w:sz w:val="26"/>
                <w:szCs w:val="26"/>
              </w:rPr>
              <w:t>The group agreed these changes were acceptable to the administrative procedures</w:t>
            </w:r>
          </w:p>
        </w:tc>
      </w:tr>
      <w:tr w:rsidR="00607A0A" w:rsidTr="006A2D2C">
        <w:trPr>
          <w:trHeight w:val="620"/>
        </w:trPr>
        <w:tc>
          <w:tcPr>
            <w:tcW w:w="1728" w:type="dxa"/>
          </w:tcPr>
          <w:p w:rsidR="00607A0A" w:rsidRDefault="006A2D2C" w:rsidP="006A2D2C">
            <w:pPr>
              <w:tabs>
                <w:tab w:val="right" w:pos="10620"/>
              </w:tabs>
              <w:rPr>
                <w:b/>
                <w:bCs/>
                <w:sz w:val="26"/>
                <w:szCs w:val="26"/>
              </w:rPr>
            </w:pPr>
            <w:r>
              <w:rPr>
                <w:b/>
                <w:bCs/>
                <w:sz w:val="22"/>
                <w:szCs w:val="22"/>
              </w:rPr>
              <w:lastRenderedPageBreak/>
              <w:t>5:15</w:t>
            </w:r>
            <w:r w:rsidRPr="006A2D2C">
              <w:rPr>
                <w:b/>
                <w:bCs/>
                <w:sz w:val="22"/>
                <w:szCs w:val="22"/>
              </w:rPr>
              <w:t xml:space="preserve"> p</w:t>
            </w:r>
            <w:r w:rsidR="004A764A">
              <w:rPr>
                <w:b/>
                <w:bCs/>
                <w:sz w:val="22"/>
                <w:szCs w:val="22"/>
              </w:rPr>
              <w:t>.</w:t>
            </w:r>
            <w:r w:rsidRPr="006A2D2C">
              <w:rPr>
                <w:b/>
                <w:bCs/>
                <w:sz w:val="22"/>
                <w:szCs w:val="22"/>
              </w:rPr>
              <w:t>m</w:t>
            </w:r>
            <w:r w:rsidR="004A764A">
              <w:rPr>
                <w:b/>
                <w:bCs/>
                <w:sz w:val="22"/>
                <w:szCs w:val="22"/>
              </w:rPr>
              <w:t>.</w:t>
            </w:r>
          </w:p>
        </w:tc>
        <w:tc>
          <w:tcPr>
            <w:tcW w:w="9288" w:type="dxa"/>
          </w:tcPr>
          <w:p w:rsidR="00607A0A" w:rsidRDefault="006A2D2C" w:rsidP="006A2D2C">
            <w:pPr>
              <w:pStyle w:val="ListParagraph"/>
              <w:numPr>
                <w:ilvl w:val="0"/>
                <w:numId w:val="6"/>
              </w:numPr>
              <w:tabs>
                <w:tab w:val="right" w:pos="10620"/>
              </w:tabs>
              <w:rPr>
                <w:bCs/>
                <w:sz w:val="26"/>
                <w:szCs w:val="26"/>
              </w:rPr>
            </w:pPr>
            <w:r>
              <w:rPr>
                <w:bCs/>
                <w:sz w:val="26"/>
                <w:szCs w:val="26"/>
              </w:rPr>
              <w:t>Determine June 10</w:t>
            </w:r>
            <w:r w:rsidRPr="006A2D2C">
              <w:rPr>
                <w:bCs/>
                <w:sz w:val="26"/>
                <w:szCs w:val="26"/>
                <w:vertAlign w:val="superscript"/>
              </w:rPr>
              <w:t>th</w:t>
            </w:r>
            <w:r>
              <w:rPr>
                <w:bCs/>
                <w:sz w:val="26"/>
                <w:szCs w:val="26"/>
              </w:rPr>
              <w:t xml:space="preserve"> Board meeting participants</w:t>
            </w:r>
          </w:p>
          <w:p w:rsidR="00EA3AB4" w:rsidRPr="006A2D2C" w:rsidRDefault="00EA3AB4" w:rsidP="00EA3AB4">
            <w:pPr>
              <w:pStyle w:val="ListParagraph"/>
              <w:numPr>
                <w:ilvl w:val="1"/>
                <w:numId w:val="6"/>
              </w:numPr>
              <w:tabs>
                <w:tab w:val="right" w:pos="10620"/>
              </w:tabs>
              <w:rPr>
                <w:bCs/>
                <w:sz w:val="26"/>
                <w:szCs w:val="26"/>
              </w:rPr>
            </w:pPr>
            <w:r>
              <w:rPr>
                <w:bCs/>
                <w:color w:val="FF0000"/>
                <w:sz w:val="26"/>
                <w:szCs w:val="26"/>
              </w:rPr>
              <w:t xml:space="preserve">Jean </w:t>
            </w:r>
            <w:proofErr w:type="spellStart"/>
            <w:r>
              <w:rPr>
                <w:bCs/>
                <w:color w:val="FF0000"/>
                <w:sz w:val="26"/>
                <w:szCs w:val="26"/>
              </w:rPr>
              <w:t>Croxton</w:t>
            </w:r>
            <w:proofErr w:type="spellEnd"/>
            <w:r>
              <w:rPr>
                <w:bCs/>
                <w:color w:val="FF0000"/>
                <w:sz w:val="26"/>
                <w:szCs w:val="26"/>
              </w:rPr>
              <w:t xml:space="preserve"> will plan to be there</w:t>
            </w:r>
          </w:p>
        </w:tc>
      </w:tr>
      <w:tr w:rsidR="006A2D2C" w:rsidTr="006A2D2C">
        <w:trPr>
          <w:trHeight w:val="530"/>
        </w:trPr>
        <w:tc>
          <w:tcPr>
            <w:tcW w:w="1728" w:type="dxa"/>
          </w:tcPr>
          <w:p w:rsidR="006A2D2C" w:rsidRPr="006A2D2C" w:rsidRDefault="006A2D2C" w:rsidP="006A2D2C">
            <w:pPr>
              <w:tabs>
                <w:tab w:val="right" w:pos="10620"/>
              </w:tabs>
              <w:rPr>
                <w:b/>
                <w:bCs/>
                <w:sz w:val="22"/>
                <w:szCs w:val="22"/>
              </w:rPr>
            </w:pPr>
            <w:r w:rsidRPr="006A2D2C">
              <w:rPr>
                <w:b/>
                <w:bCs/>
                <w:sz w:val="22"/>
                <w:szCs w:val="22"/>
              </w:rPr>
              <w:t>5:25 p</w:t>
            </w:r>
            <w:r w:rsidR="004A764A">
              <w:rPr>
                <w:b/>
                <w:bCs/>
                <w:sz w:val="22"/>
                <w:szCs w:val="22"/>
              </w:rPr>
              <w:t>.</w:t>
            </w:r>
            <w:r w:rsidRPr="006A2D2C">
              <w:rPr>
                <w:b/>
                <w:bCs/>
                <w:sz w:val="22"/>
                <w:szCs w:val="22"/>
              </w:rPr>
              <w:t>m</w:t>
            </w:r>
            <w:r w:rsidR="004A764A">
              <w:rPr>
                <w:b/>
                <w:bCs/>
                <w:sz w:val="22"/>
                <w:szCs w:val="22"/>
              </w:rPr>
              <w:t>.</w:t>
            </w:r>
          </w:p>
        </w:tc>
        <w:tc>
          <w:tcPr>
            <w:tcW w:w="9288" w:type="dxa"/>
          </w:tcPr>
          <w:p w:rsidR="006A2D2C" w:rsidRDefault="006A2D2C" w:rsidP="00EA3AB4">
            <w:pPr>
              <w:pStyle w:val="ListParagraph"/>
              <w:numPr>
                <w:ilvl w:val="0"/>
                <w:numId w:val="6"/>
              </w:numPr>
              <w:tabs>
                <w:tab w:val="right" w:pos="10620"/>
              </w:tabs>
              <w:rPr>
                <w:bCs/>
                <w:sz w:val="26"/>
                <w:szCs w:val="26"/>
              </w:rPr>
            </w:pPr>
            <w:r>
              <w:rPr>
                <w:bCs/>
                <w:sz w:val="26"/>
                <w:szCs w:val="26"/>
              </w:rPr>
              <w:t>Revise the Tributes and Memorials policy</w:t>
            </w:r>
          </w:p>
          <w:p w:rsidR="00EA3AB4" w:rsidRPr="00EA3AB4" w:rsidRDefault="00EA3AB4" w:rsidP="00EA3AB4">
            <w:pPr>
              <w:pStyle w:val="ListParagraph"/>
              <w:numPr>
                <w:ilvl w:val="1"/>
                <w:numId w:val="6"/>
              </w:numPr>
              <w:rPr>
                <w:bCs/>
                <w:sz w:val="26"/>
                <w:szCs w:val="26"/>
              </w:rPr>
            </w:pPr>
            <w:r>
              <w:rPr>
                <w:bCs/>
                <w:color w:val="FF0000"/>
                <w:sz w:val="26"/>
                <w:szCs w:val="26"/>
              </w:rPr>
              <w:t>Committee adjusted language and revised policy. Please see revised policy – attached.</w:t>
            </w:r>
          </w:p>
        </w:tc>
      </w:tr>
      <w:tr w:rsidR="00916309" w:rsidTr="006A2D2C">
        <w:trPr>
          <w:trHeight w:val="530"/>
        </w:trPr>
        <w:tc>
          <w:tcPr>
            <w:tcW w:w="1728" w:type="dxa"/>
          </w:tcPr>
          <w:p w:rsidR="00916309" w:rsidRPr="006A2D2C" w:rsidRDefault="00916309" w:rsidP="006A2D2C">
            <w:pPr>
              <w:tabs>
                <w:tab w:val="right" w:pos="10620"/>
              </w:tabs>
              <w:rPr>
                <w:b/>
                <w:bCs/>
              </w:rPr>
            </w:pPr>
            <w:r w:rsidRPr="00916309">
              <w:rPr>
                <w:b/>
                <w:bCs/>
                <w:sz w:val="22"/>
                <w:szCs w:val="22"/>
              </w:rPr>
              <w:t>5:45 p</w:t>
            </w:r>
            <w:r w:rsidR="004A764A">
              <w:rPr>
                <w:b/>
                <w:bCs/>
                <w:sz w:val="22"/>
                <w:szCs w:val="22"/>
              </w:rPr>
              <w:t>.</w:t>
            </w:r>
            <w:r w:rsidRPr="00916309">
              <w:rPr>
                <w:b/>
                <w:bCs/>
                <w:sz w:val="22"/>
                <w:szCs w:val="22"/>
              </w:rPr>
              <w:t>m</w:t>
            </w:r>
            <w:r w:rsidR="004A764A">
              <w:rPr>
                <w:b/>
                <w:bCs/>
                <w:sz w:val="22"/>
                <w:szCs w:val="22"/>
              </w:rPr>
              <w:t>.</w:t>
            </w:r>
          </w:p>
        </w:tc>
        <w:tc>
          <w:tcPr>
            <w:tcW w:w="9288" w:type="dxa"/>
          </w:tcPr>
          <w:p w:rsidR="00916309" w:rsidRDefault="00916309" w:rsidP="006A2D2C">
            <w:pPr>
              <w:pStyle w:val="ListParagraph"/>
              <w:numPr>
                <w:ilvl w:val="0"/>
                <w:numId w:val="6"/>
              </w:numPr>
              <w:tabs>
                <w:tab w:val="right" w:pos="10620"/>
              </w:tabs>
              <w:rPr>
                <w:bCs/>
                <w:sz w:val="26"/>
                <w:szCs w:val="26"/>
              </w:rPr>
            </w:pPr>
            <w:r>
              <w:rPr>
                <w:bCs/>
                <w:sz w:val="26"/>
                <w:szCs w:val="26"/>
              </w:rPr>
              <w:t>Public Comment</w:t>
            </w:r>
          </w:p>
        </w:tc>
      </w:tr>
      <w:tr w:rsidR="006A2D2C" w:rsidTr="006A2D2C">
        <w:trPr>
          <w:trHeight w:val="440"/>
        </w:trPr>
        <w:tc>
          <w:tcPr>
            <w:tcW w:w="1728" w:type="dxa"/>
          </w:tcPr>
          <w:p w:rsidR="006A2D2C" w:rsidRPr="006A2D2C" w:rsidRDefault="006A2D2C" w:rsidP="006A2D2C">
            <w:pPr>
              <w:tabs>
                <w:tab w:val="right" w:pos="10620"/>
              </w:tabs>
              <w:rPr>
                <w:b/>
                <w:bCs/>
                <w:sz w:val="22"/>
                <w:szCs w:val="22"/>
              </w:rPr>
            </w:pPr>
            <w:r w:rsidRPr="006A2D2C">
              <w:rPr>
                <w:b/>
                <w:bCs/>
                <w:sz w:val="22"/>
                <w:szCs w:val="22"/>
              </w:rPr>
              <w:t>5:55</w:t>
            </w:r>
            <w:r>
              <w:rPr>
                <w:b/>
                <w:bCs/>
                <w:sz w:val="22"/>
                <w:szCs w:val="22"/>
              </w:rPr>
              <w:t xml:space="preserve"> p</w:t>
            </w:r>
            <w:r w:rsidR="004A764A">
              <w:rPr>
                <w:b/>
                <w:bCs/>
                <w:sz w:val="22"/>
                <w:szCs w:val="22"/>
              </w:rPr>
              <w:t>.</w:t>
            </w:r>
            <w:r>
              <w:rPr>
                <w:b/>
                <w:bCs/>
                <w:sz w:val="22"/>
                <w:szCs w:val="22"/>
              </w:rPr>
              <w:t>m</w:t>
            </w:r>
            <w:r w:rsidR="004A764A">
              <w:rPr>
                <w:b/>
                <w:bCs/>
                <w:sz w:val="22"/>
                <w:szCs w:val="22"/>
              </w:rPr>
              <w:t>.</w:t>
            </w:r>
          </w:p>
        </w:tc>
        <w:tc>
          <w:tcPr>
            <w:tcW w:w="9288" w:type="dxa"/>
          </w:tcPr>
          <w:p w:rsidR="006A2D2C" w:rsidRDefault="006A2D2C" w:rsidP="006A2D2C">
            <w:pPr>
              <w:pStyle w:val="ListParagraph"/>
              <w:numPr>
                <w:ilvl w:val="0"/>
                <w:numId w:val="6"/>
              </w:numPr>
              <w:tabs>
                <w:tab w:val="right" w:pos="10620"/>
              </w:tabs>
              <w:rPr>
                <w:bCs/>
                <w:sz w:val="26"/>
                <w:szCs w:val="26"/>
              </w:rPr>
            </w:pPr>
            <w:r>
              <w:rPr>
                <w:bCs/>
                <w:sz w:val="26"/>
                <w:szCs w:val="26"/>
              </w:rPr>
              <w:t>Dismiss</w:t>
            </w:r>
          </w:p>
        </w:tc>
      </w:tr>
    </w:tbl>
    <w:p w:rsidR="00B8277B" w:rsidRPr="00E14690" w:rsidRDefault="00B8277B" w:rsidP="00607A0A">
      <w:pPr>
        <w:pStyle w:val="ColorfulList-Accent11"/>
        <w:spacing w:after="0"/>
        <w:ind w:left="0"/>
        <w:rPr>
          <w:b/>
          <w:bCs/>
          <w:i/>
          <w:sz w:val="26"/>
          <w:szCs w:val="26"/>
        </w:rPr>
      </w:pPr>
    </w:p>
    <w:p w:rsidR="00F4711A" w:rsidRDefault="00F4711A">
      <w:pPr>
        <w:rPr>
          <w:b/>
          <w:bCs/>
          <w:i/>
          <w:sz w:val="26"/>
          <w:szCs w:val="26"/>
        </w:rPr>
      </w:pPr>
      <w:r>
        <w:rPr>
          <w:b/>
          <w:bCs/>
          <w:i/>
          <w:sz w:val="26"/>
          <w:szCs w:val="26"/>
        </w:rPr>
        <w:br w:type="page"/>
      </w:r>
    </w:p>
    <w:p w:rsidR="00F4711A" w:rsidRPr="005D0F29" w:rsidRDefault="00F4711A" w:rsidP="00F4711A">
      <w:pPr>
        <w:rPr>
          <w:rFonts w:asciiTheme="minorHAnsi" w:hAnsiTheme="minorHAnsi" w:cstheme="minorHAnsi"/>
          <w:u w:val="single"/>
        </w:rPr>
      </w:pPr>
      <w:r w:rsidRPr="005D0F29">
        <w:rPr>
          <w:rFonts w:asciiTheme="minorHAnsi" w:hAnsiTheme="minorHAnsi" w:cstheme="minorHAnsi"/>
          <w:u w:val="single"/>
        </w:rPr>
        <w:lastRenderedPageBreak/>
        <w:t>Missoula County Public Schools</w:t>
      </w:r>
      <w:bookmarkStart w:id="0" w:name="_GoBack"/>
      <w:bookmarkEnd w:id="0"/>
    </w:p>
    <w:p w:rsidR="00F4711A" w:rsidRPr="005D0F29" w:rsidRDefault="00F4711A" w:rsidP="00F4711A">
      <w:pPr>
        <w:rPr>
          <w:rFonts w:asciiTheme="minorHAnsi" w:hAnsiTheme="minorHAnsi" w:cstheme="minorHAnsi"/>
          <w:b/>
          <w:u w:val="single"/>
        </w:rPr>
      </w:pPr>
      <w:r w:rsidRPr="005D0F29">
        <w:rPr>
          <w:rFonts w:asciiTheme="minorHAnsi" w:hAnsiTheme="minorHAnsi" w:cstheme="minorHAnsi"/>
          <w:b/>
          <w:u w:val="single"/>
        </w:rPr>
        <w:t>NONINSTRUCTIONAL OPERATIONS                                                                                                   8510</w:t>
      </w:r>
    </w:p>
    <w:p w:rsidR="00F4711A" w:rsidRPr="005D0F29" w:rsidRDefault="00F4711A" w:rsidP="00F4711A">
      <w:pPr>
        <w:rPr>
          <w:rFonts w:asciiTheme="minorHAnsi" w:hAnsiTheme="minorHAnsi" w:cstheme="minorHAnsi"/>
          <w:u w:val="single"/>
        </w:rPr>
      </w:pPr>
      <w:r w:rsidRPr="005D0F29">
        <w:rPr>
          <w:rFonts w:asciiTheme="minorHAnsi" w:hAnsiTheme="minorHAnsi" w:cstheme="minorHAnsi"/>
          <w:u w:val="single"/>
        </w:rPr>
        <w:t>Tributes and Memorials</w:t>
      </w:r>
    </w:p>
    <w:p w:rsidR="00F4711A" w:rsidRPr="005D0F29" w:rsidRDefault="00F4711A" w:rsidP="00F4711A">
      <w:pPr>
        <w:rPr>
          <w:rFonts w:asciiTheme="minorHAnsi" w:hAnsiTheme="minorHAnsi" w:cstheme="minorHAnsi"/>
          <w:u w:val="single"/>
        </w:rPr>
      </w:pPr>
      <w:r w:rsidRPr="005D0F29">
        <w:rPr>
          <w:rFonts w:asciiTheme="minorHAnsi" w:hAnsiTheme="minorHAnsi" w:cstheme="minorHAnsi"/>
          <w:u w:val="single"/>
        </w:rPr>
        <w:t xml:space="preserve">The District recognizes that circumstances may exist to honor individuals, groups or events that pay tribute to or memorialize extraordinary lifetime accomplishments or events. Additionally, the District recognizes that at times traumatic events may also need to be recognized. However, as places designed primarily to support learning, schools sites and district facilities should not serve as the main venue for permanent tributes or memorials for individuals, groups or events. </w:t>
      </w:r>
    </w:p>
    <w:p w:rsidR="00F4711A" w:rsidRPr="005D0F29" w:rsidRDefault="00F4711A" w:rsidP="00F4711A">
      <w:pPr>
        <w:rPr>
          <w:rFonts w:asciiTheme="minorHAnsi" w:hAnsiTheme="minorHAnsi" w:cstheme="minorHAnsi"/>
          <w:u w:val="single"/>
        </w:rPr>
      </w:pPr>
      <w:r w:rsidRPr="005D0F29">
        <w:rPr>
          <w:rFonts w:asciiTheme="minorHAnsi" w:hAnsiTheme="minorHAnsi" w:cstheme="minorHAnsi"/>
          <w:u w:val="single"/>
        </w:rPr>
        <w:t>This policy is not intended to replace existing practices recognizing academic or extra-curricular achievement which are currently managed by building administration.</w:t>
      </w:r>
    </w:p>
    <w:p w:rsidR="00F4711A" w:rsidRPr="005D0F29" w:rsidRDefault="00F4711A" w:rsidP="00F4711A">
      <w:pPr>
        <w:rPr>
          <w:rFonts w:asciiTheme="minorHAnsi" w:hAnsiTheme="minorHAnsi" w:cstheme="minorHAnsi"/>
          <w:u w:val="single"/>
        </w:rPr>
      </w:pPr>
      <w:r w:rsidRPr="005D0F29">
        <w:rPr>
          <w:rFonts w:asciiTheme="minorHAnsi" w:hAnsiTheme="minorHAnsi" w:cstheme="minorHAnsi"/>
          <w:u w:val="single"/>
        </w:rPr>
        <w:t>Permanent tributes and memorials for individuals, groups or events on District property shall be limited to:</w:t>
      </w:r>
    </w:p>
    <w:p w:rsidR="00F4711A" w:rsidRPr="005D0F29" w:rsidRDefault="00F4711A" w:rsidP="00F4711A">
      <w:pPr>
        <w:pStyle w:val="ListParagraph"/>
        <w:numPr>
          <w:ilvl w:val="0"/>
          <w:numId w:val="9"/>
        </w:numPr>
        <w:rPr>
          <w:rFonts w:asciiTheme="minorHAnsi" w:hAnsiTheme="minorHAnsi" w:cstheme="minorHAnsi"/>
          <w:u w:val="single"/>
        </w:rPr>
      </w:pPr>
      <w:r w:rsidRPr="005D0F29">
        <w:rPr>
          <w:rFonts w:asciiTheme="minorHAnsi" w:hAnsiTheme="minorHAnsi" w:cstheme="minorHAnsi"/>
          <w:u w:val="single"/>
        </w:rPr>
        <w:t>Perpetual awards or scholarships</w:t>
      </w:r>
    </w:p>
    <w:p w:rsidR="00F4711A" w:rsidRPr="005D0F29" w:rsidRDefault="00F4711A" w:rsidP="00F4711A">
      <w:pPr>
        <w:pStyle w:val="ListParagraph"/>
        <w:numPr>
          <w:ilvl w:val="0"/>
          <w:numId w:val="9"/>
        </w:numPr>
        <w:rPr>
          <w:rFonts w:asciiTheme="minorHAnsi" w:hAnsiTheme="minorHAnsi" w:cstheme="minorHAnsi"/>
          <w:u w:val="single"/>
        </w:rPr>
      </w:pPr>
      <w:r w:rsidRPr="005D0F29">
        <w:rPr>
          <w:rFonts w:asciiTheme="minorHAnsi" w:hAnsiTheme="minorHAnsi" w:cstheme="minorHAnsi"/>
          <w:u w:val="single"/>
        </w:rPr>
        <w:t>Plantings (trees, shrubs, or perennials)</w:t>
      </w:r>
    </w:p>
    <w:p w:rsidR="00F4711A" w:rsidRPr="005D0F29" w:rsidRDefault="00F4711A" w:rsidP="00F4711A">
      <w:pPr>
        <w:pStyle w:val="ListParagraph"/>
        <w:numPr>
          <w:ilvl w:val="0"/>
          <w:numId w:val="9"/>
        </w:numPr>
        <w:rPr>
          <w:rFonts w:asciiTheme="minorHAnsi" w:hAnsiTheme="minorHAnsi" w:cstheme="minorHAnsi"/>
          <w:u w:val="single"/>
        </w:rPr>
      </w:pPr>
      <w:r w:rsidRPr="005D0F29">
        <w:rPr>
          <w:rFonts w:asciiTheme="minorHAnsi" w:hAnsiTheme="minorHAnsi" w:cstheme="minorHAnsi"/>
          <w:u w:val="single"/>
        </w:rPr>
        <w:t>Benches, tables, and other types of outdoor furnishings</w:t>
      </w:r>
    </w:p>
    <w:p w:rsidR="00F4711A" w:rsidRPr="005D0F29" w:rsidRDefault="00F4711A" w:rsidP="00F4711A">
      <w:pPr>
        <w:rPr>
          <w:rFonts w:asciiTheme="minorHAnsi" w:hAnsiTheme="minorHAnsi" w:cstheme="minorHAnsi"/>
          <w:u w:val="single"/>
        </w:rPr>
      </w:pPr>
      <w:r w:rsidRPr="005D0F29">
        <w:rPr>
          <w:rFonts w:asciiTheme="minorHAnsi" w:hAnsiTheme="minorHAnsi" w:cstheme="minorHAnsi"/>
          <w:u w:val="single"/>
        </w:rPr>
        <w:t>Memorial signage will not be installed at the location. The names of honored individuals, groups or events will be kept and made available to the public at a centrally located site.</w:t>
      </w:r>
    </w:p>
    <w:p w:rsidR="00F4711A" w:rsidRPr="005D0F29" w:rsidRDefault="00F4711A" w:rsidP="00F4711A">
      <w:pPr>
        <w:rPr>
          <w:rFonts w:asciiTheme="minorHAnsi" w:hAnsiTheme="minorHAnsi" w:cstheme="minorHAnsi"/>
          <w:u w:val="single"/>
        </w:rPr>
      </w:pPr>
      <w:r w:rsidRPr="005D0F29">
        <w:rPr>
          <w:rFonts w:asciiTheme="minorHAnsi" w:hAnsiTheme="minorHAnsi" w:cstheme="minorHAnsi"/>
          <w:u w:val="single"/>
        </w:rPr>
        <w:t>Any permanent memorials in existence before this policy was adopted can only be removed by a vote of the Board of Trustees.</w:t>
      </w:r>
    </w:p>
    <w:p w:rsidR="00F4711A" w:rsidRPr="005D0F29" w:rsidRDefault="00F4711A" w:rsidP="00F4711A">
      <w:pPr>
        <w:rPr>
          <w:rFonts w:asciiTheme="minorHAnsi" w:hAnsiTheme="minorHAnsi" w:cstheme="minorHAnsi"/>
          <w:u w:val="single"/>
        </w:rPr>
      </w:pPr>
      <w:r w:rsidRPr="005D0F29">
        <w:rPr>
          <w:rFonts w:asciiTheme="minorHAnsi" w:hAnsiTheme="minorHAnsi" w:cstheme="minorHAnsi"/>
          <w:u w:val="single"/>
        </w:rPr>
        <w:t>Funerals, memorial services, or celebrations of an individual’s life will not be conducted on district property or in the school setting.</w:t>
      </w:r>
    </w:p>
    <w:p w:rsidR="00F4711A" w:rsidRPr="005D0F29" w:rsidRDefault="00F4711A" w:rsidP="00F4711A">
      <w:pPr>
        <w:rPr>
          <w:rFonts w:asciiTheme="minorHAnsi" w:hAnsiTheme="minorHAnsi" w:cstheme="minorHAnsi"/>
          <w:u w:val="single"/>
        </w:rPr>
      </w:pPr>
      <w:r w:rsidRPr="005D0F29">
        <w:rPr>
          <w:rFonts w:asciiTheme="minorHAnsi" w:hAnsiTheme="minorHAnsi" w:cstheme="minorHAnsi"/>
          <w:u w:val="single"/>
        </w:rPr>
        <w:t>The Board authorizes the Superintendent or designee to establish procedures to administer and implement the memorials policy, including: identification and approval of memorial location(s), term(s), siting, design standards, application requirements, review processes, and record keeping.</w:t>
      </w:r>
    </w:p>
    <w:p w:rsidR="00F4711A" w:rsidRPr="005D0F29" w:rsidRDefault="00F4711A" w:rsidP="00F4711A">
      <w:pPr>
        <w:spacing w:after="0" w:line="240" w:lineRule="auto"/>
        <w:rPr>
          <w:rFonts w:asciiTheme="minorHAnsi" w:hAnsiTheme="minorHAnsi" w:cstheme="minorHAnsi"/>
          <w:u w:val="single"/>
        </w:rPr>
      </w:pPr>
      <w:r w:rsidRPr="005D0F29">
        <w:rPr>
          <w:rFonts w:asciiTheme="minorHAnsi" w:hAnsiTheme="minorHAnsi" w:cstheme="minorHAnsi"/>
          <w:u w:val="single"/>
        </w:rPr>
        <w:t>Legal References:</w:t>
      </w:r>
    </w:p>
    <w:p w:rsidR="00F4711A" w:rsidRPr="005D0F29" w:rsidRDefault="00F4711A" w:rsidP="00F4711A">
      <w:pPr>
        <w:spacing w:after="0" w:line="240" w:lineRule="auto"/>
        <w:rPr>
          <w:rFonts w:asciiTheme="minorHAnsi" w:hAnsiTheme="minorHAnsi" w:cstheme="minorHAnsi"/>
          <w:u w:val="single"/>
        </w:rPr>
      </w:pPr>
    </w:p>
    <w:p w:rsidR="00F4711A" w:rsidRPr="005D0F29" w:rsidRDefault="00F4711A" w:rsidP="00F4711A">
      <w:pPr>
        <w:spacing w:after="0" w:line="240" w:lineRule="auto"/>
        <w:rPr>
          <w:rFonts w:asciiTheme="minorHAnsi" w:hAnsiTheme="minorHAnsi" w:cstheme="minorHAnsi"/>
          <w:u w:val="single"/>
        </w:rPr>
      </w:pPr>
    </w:p>
    <w:p w:rsidR="00F4711A" w:rsidRPr="005D0F29" w:rsidRDefault="00F4711A" w:rsidP="00F4711A">
      <w:pPr>
        <w:spacing w:after="0" w:line="240" w:lineRule="auto"/>
        <w:rPr>
          <w:rFonts w:asciiTheme="minorHAnsi" w:hAnsiTheme="minorHAnsi" w:cstheme="minorHAnsi"/>
          <w:u w:val="single"/>
        </w:rPr>
      </w:pPr>
      <w:r w:rsidRPr="005D0F29">
        <w:rPr>
          <w:rFonts w:asciiTheme="minorHAnsi" w:hAnsiTheme="minorHAnsi" w:cstheme="minorHAnsi"/>
          <w:u w:val="single"/>
        </w:rPr>
        <w:t>Cross References:</w:t>
      </w:r>
    </w:p>
    <w:p w:rsidR="00F4711A" w:rsidRPr="005D0F29" w:rsidRDefault="00F4711A" w:rsidP="00F4711A">
      <w:pPr>
        <w:spacing w:after="0" w:line="240" w:lineRule="auto"/>
        <w:rPr>
          <w:rFonts w:asciiTheme="minorHAnsi" w:hAnsiTheme="minorHAnsi" w:cstheme="minorHAnsi"/>
          <w:u w:val="single"/>
        </w:rPr>
      </w:pPr>
    </w:p>
    <w:p w:rsidR="00F4711A" w:rsidRPr="005D0F29" w:rsidRDefault="00F4711A" w:rsidP="00F4711A">
      <w:pPr>
        <w:spacing w:after="0" w:line="240" w:lineRule="auto"/>
        <w:rPr>
          <w:rFonts w:asciiTheme="minorHAnsi" w:hAnsiTheme="minorHAnsi" w:cstheme="minorHAnsi"/>
          <w:u w:val="single"/>
        </w:rPr>
      </w:pPr>
      <w:r w:rsidRPr="005D0F29">
        <w:rPr>
          <w:rFonts w:asciiTheme="minorHAnsi" w:hAnsiTheme="minorHAnsi" w:cstheme="minorHAnsi"/>
          <w:u w:val="single"/>
        </w:rPr>
        <w:t>Policy History:</w:t>
      </w:r>
    </w:p>
    <w:p w:rsidR="00F4711A" w:rsidRPr="005D0F29" w:rsidRDefault="00F4711A" w:rsidP="00F4711A">
      <w:pPr>
        <w:spacing w:after="0" w:line="240" w:lineRule="auto"/>
        <w:rPr>
          <w:rFonts w:asciiTheme="minorHAnsi" w:hAnsiTheme="minorHAnsi" w:cstheme="minorHAnsi"/>
          <w:u w:val="single"/>
        </w:rPr>
      </w:pPr>
      <w:r w:rsidRPr="005D0F29">
        <w:rPr>
          <w:rFonts w:asciiTheme="minorHAnsi" w:hAnsiTheme="minorHAnsi" w:cstheme="minorHAnsi"/>
          <w:u w:val="single"/>
        </w:rPr>
        <w:t>Approved at Personnel, Negotiations, and Policy Committee on:</w:t>
      </w:r>
    </w:p>
    <w:p w:rsidR="00F4711A" w:rsidRPr="005D0F29" w:rsidRDefault="00F4711A" w:rsidP="00F4711A">
      <w:pPr>
        <w:spacing w:after="0" w:line="240" w:lineRule="auto"/>
        <w:rPr>
          <w:rFonts w:asciiTheme="minorHAnsi" w:hAnsiTheme="minorHAnsi" w:cstheme="minorHAnsi"/>
          <w:u w:val="single"/>
        </w:rPr>
      </w:pPr>
      <w:r w:rsidRPr="005D0F29">
        <w:rPr>
          <w:rFonts w:asciiTheme="minorHAnsi" w:hAnsiTheme="minorHAnsi" w:cstheme="minorHAnsi"/>
          <w:u w:val="single"/>
        </w:rPr>
        <w:t>Adopted on:</w:t>
      </w:r>
    </w:p>
    <w:p w:rsidR="00B8277B" w:rsidRPr="00F4711A" w:rsidRDefault="00F4711A" w:rsidP="00F4711A">
      <w:pPr>
        <w:spacing w:after="0" w:line="240" w:lineRule="auto"/>
        <w:rPr>
          <w:rFonts w:asciiTheme="minorHAnsi" w:hAnsiTheme="minorHAnsi" w:cstheme="minorHAnsi"/>
          <w:u w:val="single"/>
        </w:rPr>
      </w:pPr>
      <w:r w:rsidRPr="005D0F29">
        <w:rPr>
          <w:rFonts w:asciiTheme="minorHAnsi" w:hAnsiTheme="minorHAnsi" w:cstheme="minorHAnsi"/>
          <w:u w:val="single"/>
        </w:rPr>
        <w:t>Revised on:</w:t>
      </w:r>
    </w:p>
    <w:sectPr w:rsidR="00B8277B" w:rsidRPr="00F4711A" w:rsidSect="00437FB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264CA"/>
    <w:multiLevelType w:val="hybridMultilevel"/>
    <w:tmpl w:val="B4164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E7731E"/>
    <w:multiLevelType w:val="hybridMultilevel"/>
    <w:tmpl w:val="17CC5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5C0598"/>
    <w:multiLevelType w:val="hybridMultilevel"/>
    <w:tmpl w:val="A9E8A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8570D5"/>
    <w:multiLevelType w:val="hybridMultilevel"/>
    <w:tmpl w:val="274CF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4813C5"/>
    <w:multiLevelType w:val="hybridMultilevel"/>
    <w:tmpl w:val="6010C83A"/>
    <w:lvl w:ilvl="0" w:tplc="04090003">
      <w:start w:val="1"/>
      <w:numFmt w:val="bullet"/>
      <w:lvlText w:val="o"/>
      <w:lvlJc w:val="left"/>
      <w:pPr>
        <w:ind w:left="1185" w:hanging="360"/>
      </w:pPr>
      <w:rPr>
        <w:rFonts w:ascii="Courier New" w:hAnsi="Courier New" w:cs="Courier New"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5">
    <w:nsid w:val="6A773731"/>
    <w:multiLevelType w:val="hybridMultilevel"/>
    <w:tmpl w:val="26AE5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EB1826"/>
    <w:multiLevelType w:val="hybridMultilevel"/>
    <w:tmpl w:val="480EB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7415837"/>
    <w:multiLevelType w:val="hybridMultilevel"/>
    <w:tmpl w:val="F320B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ED2AAF"/>
    <w:multiLevelType w:val="hybridMultilevel"/>
    <w:tmpl w:val="A4806154"/>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9">
    <w:nsid w:val="7C285AC7"/>
    <w:multiLevelType w:val="hybridMultilevel"/>
    <w:tmpl w:val="7018E3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9"/>
  </w:num>
  <w:num w:numId="5">
    <w:abstractNumId w:val="8"/>
  </w:num>
  <w:num w:numId="6">
    <w:abstractNumId w:val="1"/>
  </w:num>
  <w:num w:numId="7">
    <w:abstractNumId w:val="6"/>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77B"/>
    <w:rsid w:val="00031405"/>
    <w:rsid w:val="000406F4"/>
    <w:rsid w:val="0007292E"/>
    <w:rsid w:val="00096CEA"/>
    <w:rsid w:val="000E3219"/>
    <w:rsid w:val="000E5516"/>
    <w:rsid w:val="00147C3D"/>
    <w:rsid w:val="00172CAF"/>
    <w:rsid w:val="001B05A0"/>
    <w:rsid w:val="001F57DB"/>
    <w:rsid w:val="00200D73"/>
    <w:rsid w:val="00224440"/>
    <w:rsid w:val="002630F4"/>
    <w:rsid w:val="00264318"/>
    <w:rsid w:val="00266CAA"/>
    <w:rsid w:val="002B49C2"/>
    <w:rsid w:val="002F27F2"/>
    <w:rsid w:val="003D22A4"/>
    <w:rsid w:val="00401B8A"/>
    <w:rsid w:val="00437FB3"/>
    <w:rsid w:val="00453365"/>
    <w:rsid w:val="004657EC"/>
    <w:rsid w:val="004A764A"/>
    <w:rsid w:val="004C6411"/>
    <w:rsid w:val="0055635D"/>
    <w:rsid w:val="00584396"/>
    <w:rsid w:val="005B553F"/>
    <w:rsid w:val="005F78B1"/>
    <w:rsid w:val="00605EAC"/>
    <w:rsid w:val="00607A0A"/>
    <w:rsid w:val="0063440D"/>
    <w:rsid w:val="00640ED2"/>
    <w:rsid w:val="00642CB1"/>
    <w:rsid w:val="006A2D2C"/>
    <w:rsid w:val="00741560"/>
    <w:rsid w:val="00842D21"/>
    <w:rsid w:val="008A3F6F"/>
    <w:rsid w:val="008D25A0"/>
    <w:rsid w:val="009029CA"/>
    <w:rsid w:val="00916309"/>
    <w:rsid w:val="009B0EF6"/>
    <w:rsid w:val="00A23853"/>
    <w:rsid w:val="00A562FB"/>
    <w:rsid w:val="00AE16E4"/>
    <w:rsid w:val="00B8277B"/>
    <w:rsid w:val="00BD3995"/>
    <w:rsid w:val="00C12551"/>
    <w:rsid w:val="00CF09DD"/>
    <w:rsid w:val="00D04205"/>
    <w:rsid w:val="00D0743A"/>
    <w:rsid w:val="00D70AB3"/>
    <w:rsid w:val="00D80473"/>
    <w:rsid w:val="00D84E8D"/>
    <w:rsid w:val="00DF1079"/>
    <w:rsid w:val="00E14690"/>
    <w:rsid w:val="00E149C7"/>
    <w:rsid w:val="00E3479E"/>
    <w:rsid w:val="00E533F2"/>
    <w:rsid w:val="00EA3AB4"/>
    <w:rsid w:val="00F0650B"/>
    <w:rsid w:val="00F4711A"/>
    <w:rsid w:val="00F6138B"/>
    <w:rsid w:val="00FA620D"/>
    <w:rsid w:val="00FF50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77B"/>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B8277B"/>
    <w:pPr>
      <w:ind w:left="720"/>
    </w:pPr>
  </w:style>
  <w:style w:type="paragraph" w:styleId="ListParagraph">
    <w:name w:val="List Paragraph"/>
    <w:basedOn w:val="Normal"/>
    <w:uiPriority w:val="34"/>
    <w:qFormat/>
    <w:rsid w:val="00B8277B"/>
    <w:pPr>
      <w:ind w:left="720"/>
      <w:contextualSpacing/>
    </w:pPr>
  </w:style>
  <w:style w:type="table" w:styleId="TableGrid">
    <w:name w:val="Table Grid"/>
    <w:basedOn w:val="TableNormal"/>
    <w:rsid w:val="00B8277B"/>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277B"/>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BalloonText">
    <w:name w:val="Balloon Text"/>
    <w:basedOn w:val="Normal"/>
    <w:link w:val="BalloonTextChar"/>
    <w:uiPriority w:val="99"/>
    <w:semiHidden/>
    <w:unhideWhenUsed/>
    <w:rsid w:val="00200D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D73"/>
    <w:rPr>
      <w:rFonts w:ascii="Tahoma" w:eastAsia="Calibri" w:hAnsi="Tahoma" w:cs="Tahoma"/>
      <w:sz w:val="16"/>
      <w:szCs w:val="16"/>
    </w:rPr>
  </w:style>
  <w:style w:type="character" w:styleId="Hyperlink">
    <w:name w:val="Hyperlink"/>
    <w:basedOn w:val="DefaultParagraphFont"/>
    <w:uiPriority w:val="99"/>
    <w:unhideWhenUsed/>
    <w:rsid w:val="009B0EF6"/>
    <w:rPr>
      <w:color w:val="0000FF" w:themeColor="hyperlink"/>
      <w:u w:val="single"/>
    </w:rPr>
  </w:style>
  <w:style w:type="character" w:styleId="FollowedHyperlink">
    <w:name w:val="FollowedHyperlink"/>
    <w:basedOn w:val="DefaultParagraphFont"/>
    <w:uiPriority w:val="99"/>
    <w:semiHidden/>
    <w:unhideWhenUsed/>
    <w:rsid w:val="009B0EF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77B"/>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B8277B"/>
    <w:pPr>
      <w:ind w:left="720"/>
    </w:pPr>
  </w:style>
  <w:style w:type="paragraph" w:styleId="ListParagraph">
    <w:name w:val="List Paragraph"/>
    <w:basedOn w:val="Normal"/>
    <w:uiPriority w:val="34"/>
    <w:qFormat/>
    <w:rsid w:val="00B8277B"/>
    <w:pPr>
      <w:ind w:left="720"/>
      <w:contextualSpacing/>
    </w:pPr>
  </w:style>
  <w:style w:type="table" w:styleId="TableGrid">
    <w:name w:val="Table Grid"/>
    <w:basedOn w:val="TableNormal"/>
    <w:rsid w:val="00B8277B"/>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B8277B"/>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styleId="BalloonText">
    <w:name w:val="Balloon Text"/>
    <w:basedOn w:val="Normal"/>
    <w:link w:val="BalloonTextChar"/>
    <w:uiPriority w:val="99"/>
    <w:semiHidden/>
    <w:unhideWhenUsed/>
    <w:rsid w:val="00200D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D73"/>
    <w:rPr>
      <w:rFonts w:ascii="Tahoma" w:eastAsia="Calibri" w:hAnsi="Tahoma" w:cs="Tahoma"/>
      <w:sz w:val="16"/>
      <w:szCs w:val="16"/>
    </w:rPr>
  </w:style>
  <w:style w:type="character" w:styleId="Hyperlink">
    <w:name w:val="Hyperlink"/>
    <w:basedOn w:val="DefaultParagraphFont"/>
    <w:uiPriority w:val="99"/>
    <w:unhideWhenUsed/>
    <w:rsid w:val="009B0EF6"/>
    <w:rPr>
      <w:color w:val="0000FF" w:themeColor="hyperlink"/>
      <w:u w:val="single"/>
    </w:rPr>
  </w:style>
  <w:style w:type="character" w:styleId="FollowedHyperlink">
    <w:name w:val="FollowedHyperlink"/>
    <w:basedOn w:val="DefaultParagraphFont"/>
    <w:uiPriority w:val="99"/>
    <w:semiHidden/>
    <w:unhideWhenUsed/>
    <w:rsid w:val="009B0E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CF691-9A94-4EE9-80F7-6275D8097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727</Words>
  <Characters>4147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lbrassfield</dc:creator>
  <cp:lastModifiedBy>an MCPS user</cp:lastModifiedBy>
  <cp:revision>5</cp:revision>
  <cp:lastPrinted>2012-02-29T22:17:00Z</cp:lastPrinted>
  <dcterms:created xsi:type="dcterms:W3CDTF">2014-04-29T23:26:00Z</dcterms:created>
  <dcterms:modified xsi:type="dcterms:W3CDTF">2014-04-29T23:52:00Z</dcterms:modified>
</cp:coreProperties>
</file>